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policy of [Company]</w:t>
      </w:r>
    </w:p>
    <w:p>
      <w:r>
        <w:t>Template by EVORI (evori.ai), as of 15 October 2026. Replace the details in square brackets. Not legal advice: have the final version checked by your data protection officer and agree it with the works council.</w:t>
      </w:r>
    </w:p>
    <w:p>
      <w:pPr>
        <w:pStyle w:val="Heading1"/>
      </w:pPr>
      <w:r>
        <w:t>1. Purpose and scope</w:t>
      </w:r>
    </w:p>
    <w:p>
      <w:r>
        <w:t>This policy governs the use of AI tools at [Company]. It applies to all employees, apprentices and external people who work for [Company]. AI tools within the meaning of this policy are programs that use AI to generate text, images, code, audio or analyses, such as chat assistants, AI-powered translation services or AI features in existing software.</w:t>
      </w:r>
    </w:p>
    <w:p>
      <w:pPr>
        <w:pStyle w:val="Heading1"/>
      </w:pPr>
      <w:r>
        <w:t>2. Approved tools</w:t>
      </w:r>
    </w:p>
    <w:p>
      <w:r>
        <w:t>Only the following tools may be used for work, with the company account:</w:t>
      </w:r>
    </w:p>
    <w:tbl>
      <w:tblPr>
        <w:tblStyle w:val="TableGrid"/>
        <w:tblW w:type="auto" w:w="0"/>
        <w:tblLook w:firstColumn="1" w:firstRow="1" w:lastColumn="0" w:lastRow="0" w:noHBand="0" w:noVBand="1" w:val="04A0"/>
      </w:tblPr>
      <w:tblGrid>
        <w:gridCol w:w="2880"/>
        <w:gridCol w:w="2880"/>
        <w:gridCol w:w="2880"/>
      </w:tblGrid>
      <w:tr>
        <w:tc>
          <w:tcPr>
            <w:tcW w:type="dxa" w:w="2880"/>
          </w:tcPr>
          <w:p>
            <w:r>
              <w:t>Tool</w:t>
            </w:r>
          </w:p>
        </w:tc>
        <w:tc>
          <w:tcPr>
            <w:tcW w:type="dxa" w:w="2880"/>
          </w:tcPr>
          <w:p>
            <w:r>
              <w:t>Approved for</w:t>
            </w:r>
          </w:p>
        </w:tc>
        <w:tc>
          <w:tcPr>
            <w:tcW w:type="dxa" w:w="2880"/>
          </w:tcPr>
          <w:p>
            <w:r>
              <w:t>Permitted data classes</w:t>
            </w:r>
          </w:p>
        </w:tc>
      </w:tr>
      <w:tr>
        <w:tc>
          <w:tcPr>
            <w:tcW w:type="dxa" w:w="2880"/>
          </w:tcPr>
          <w:p>
            <w:r>
              <w:t>[e.g. Microsoft 365 Copilot]</w:t>
            </w:r>
          </w:p>
        </w:tc>
        <w:tc>
          <w:tcPr>
            <w:tcW w:type="dxa" w:w="2880"/>
          </w:tcPr>
          <w:p>
            <w:r>
              <w:t>[all employees]</w:t>
            </w:r>
          </w:p>
        </w:tc>
        <w:tc>
          <w:tcPr>
            <w:tcW w:type="dxa" w:w="2880"/>
          </w:tcPr>
          <w:p>
            <w:r>
              <w:t>[public, internal]</w:t>
            </w:r>
          </w:p>
        </w:tc>
      </w:tr>
      <w:tr>
        <w:tc>
          <w:tcPr>
            <w:tcW w:type="dxa" w:w="2880"/>
          </w:tcPr>
          <w:p>
            <w:r>
              <w:t>[e.g. DeepL Pro]</w:t>
            </w:r>
          </w:p>
        </w:tc>
        <w:tc>
          <w:tcPr>
            <w:tcW w:type="dxa" w:w="2880"/>
          </w:tcPr>
          <w:p>
            <w:r>
              <w:t>[all employees]</w:t>
            </w:r>
          </w:p>
        </w:tc>
        <w:tc>
          <w:tcPr>
            <w:tcW w:type="dxa" w:w="2880"/>
          </w:tcPr>
          <w:p>
            <w:r>
              <w:t>[public, internal, confidential]</w:t>
            </w:r>
          </w:p>
        </w:tc>
      </w:tr>
      <w:tr>
        <w:tc>
          <w:tcPr>
            <w:tcW w:type="dxa" w:w="2880"/>
          </w:tcPr>
          <w:p>
            <w:r>
              <w:t>[own AI solution]</w:t>
            </w:r>
          </w:p>
        </w:tc>
        <w:tc>
          <w:tcPr>
            <w:tcW w:type="dxa" w:w="2880"/>
          </w:tcPr>
          <w:p>
            <w:r>
              <w:t>[sales back office]</w:t>
            </w:r>
          </w:p>
        </w:tc>
        <w:tc>
          <w:tcPr>
            <w:tcW w:type="dxa" w:w="2880"/>
          </w:tcPr>
          <w:p>
            <w:r>
              <w:t>[as per operating documentation]</w:t>
            </w:r>
          </w:p>
        </w:tc>
      </w:tr>
    </w:tbl>
    <w:p>
      <w:r>
        <w:t>Private accounts and tools that have not been approved must not be used for business content.</w:t>
      </w:r>
    </w:p>
    <w:p>
      <w:pPr>
        <w:pStyle w:val="Heading1"/>
      </w:pPr>
      <w:r>
        <w:t>3. Data classes</w:t>
      </w:r>
    </w:p>
    <w:p>
      <w:pPr>
        <w:pStyle w:val="ListBullet"/>
      </w:pPr>
      <w:r>
        <w:t>Public: information that has already been published.</w:t>
      </w:r>
    </w:p>
    <w:p>
      <w:pPr>
        <w:pStyle w:val="ListBullet"/>
      </w:pPr>
      <w:r>
        <w:t>Internal: information for official use without personal data.</w:t>
      </w:r>
    </w:p>
    <w:p>
      <w:pPr>
        <w:pStyle w:val="ListBullet"/>
      </w:pPr>
      <w:r>
        <w:t>Confidential: customer data, personnel data, contracts, prices, trade secrets.</w:t>
      </w:r>
    </w:p>
    <w:p>
      <w:pPr>
        <w:pStyle w:val="ListBullet"/>
      </w:pPr>
      <w:r>
        <w:t>Strictly confidential: health data, data subject to professional secrecy.</w:t>
      </w:r>
    </w:p>
    <w:p>
      <w:r>
        <w:t>Strictly confidential data is not entered into any of the tools unless a tool has been explicitly approved for it.</w:t>
      </w:r>
    </w:p>
    <w:p>
      <w:pPr>
        <w:pStyle w:val="Heading1"/>
      </w:pPr>
      <w:r>
        <w:t>4. Duty to review</w:t>
      </w:r>
    </w:p>
    <w:p>
      <w:r>
        <w:t>AI results can be wrong, even when they sound convincing. Anyone who uses a result checks it beforehand for factual accuracy, completeness and tone. Responsibility for the result remains with the person who uses it.</w:t>
      </w:r>
    </w:p>
    <w:p>
      <w:pPr>
        <w:pStyle w:val="Heading1"/>
      </w:pPr>
      <w:r>
        <w:t>5. Decisions about people</w:t>
      </w:r>
    </w:p>
    <w:p>
      <w:r>
        <w:t>AI tools do not make decisions about employees, applicants or customers, for example on hiring, performance, credit or dismissal. They may only prepare such decisions if the procedure has been approved in advance.</w:t>
      </w:r>
    </w:p>
    <w:p>
      <w:pPr>
        <w:pStyle w:val="Heading1"/>
      </w:pPr>
      <w:r>
        <w:t>6. Labelling</w:t>
      </w:r>
    </w:p>
    <w:p>
      <w:r>
        <w:t>Content that reaches people outside the company and was largely generated by AI is labelled if it could be taken as genuine, such as images, audio or video of real people. Chatbots that customers talk to state that an AI is responding. [Add your company's exact rule here.]</w:t>
      </w:r>
    </w:p>
    <w:p>
      <w:pPr>
        <w:pStyle w:val="Heading1"/>
      </w:pPr>
      <w:r>
        <w:t>7. Copyright and trademarks</w:t>
      </w:r>
    </w:p>
    <w:p>
      <w:r>
        <w:t>Third-party text, images or code are not copied into AI tools if the rights of use are unclear. Before publication, it is checked whether AI results recognisably reproduce third-party works or trademarks.</w:t>
      </w:r>
    </w:p>
    <w:p>
      <w:pPr>
        <w:pStyle w:val="Heading1"/>
      </w:pPr>
      <w:r>
        <w:t>8. Security</w:t>
      </w:r>
    </w:p>
    <w:p>
      <w:r>
        <w:t>Login credentials, passwords and keys are never entered into AI tools. Extensions, plug-ins and connections to other systems are only set up after approval by [IT].</w:t>
      </w:r>
    </w:p>
    <w:p>
      <w:pPr>
        <w:pStyle w:val="Heading1"/>
      </w:pPr>
      <w:r>
        <w:t>9. New tools</w:t>
      </w:r>
    </w:p>
    <w:p>
      <w:r>
        <w:t>Anyone who wants to use a new AI tool reports it to [contact person]. The provider, data location, data processing agreement, costs and purpose are reviewed. Until it is approved, the tool is not used for business content.</w:t>
      </w:r>
    </w:p>
    <w:p>
      <w:pPr>
        <w:pStyle w:val="Heading1"/>
      </w:pPr>
      <w:r>
        <w:t>10. Training</w:t>
      </w:r>
    </w:p>
    <w:p>
      <w:r>
        <w:t>All employees who use AI tools take part in an introduction before they receive a tool. [Contact person] documents attendance. There is a refresher whenever new tools are introduced.</w:t>
      </w:r>
    </w:p>
    <w:p>
      <w:pPr>
        <w:pStyle w:val="Heading1"/>
      </w:pPr>
      <w:r>
        <w:t>11. Questions and errors</w:t>
      </w:r>
    </w:p>
    <w:p>
      <w:r>
        <w:t>Questions are answered by [contact person, email]. Anyone who notices that data has accidentally entered a tool that has not been approved reports this immediately to [data protection, email]. Reporting early has no disadvantages.</w:t>
      </w:r>
    </w:p>
    <w:p>
      <w:pPr>
        <w:pStyle w:val="Heading1"/>
      </w:pPr>
      <w:r>
        <w:t>12. Validity and review</w:t>
      </w:r>
    </w:p>
    <w:p>
      <w:r>
        <w:t>This policy applies from [date]. It is reviewed at least once a year and whenever a new tool is introduced. Version [1.0], responsible: [name, function].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