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KI-Richtlinie von [Unternehmen]</w:t>
      </w:r>
    </w:p>
    <w:p>
      <w:r>
        <w:t>Vorlage von EVORI (evori.ai), Stand 15.10.2026. Ersetzen Sie die Angaben in eckigen Klammern. Keine Rechtsberatung: Lassen Sie die fertige Fassung von Ihrem Datenschutzbeauftragten prüfen und stimmen Sie sie mit dem Betriebsrat ab.</w:t>
      </w:r>
    </w:p>
    <w:p>
      <w:pPr>
        <w:pStyle w:val="Heading1"/>
      </w:pPr>
      <w:r>
        <w:t>1. Zweck und Geltungsbereich</w:t>
      </w:r>
    </w:p>
    <w:p>
      <w:r>
        <w:t>Diese Richtlinie regelt die Nutzung von KI-Werkzeugen bei [Unternehmen]. Sie gilt für alle Beschäftigten, Auszubildenden und für externe Personen, die für [Unternehmen] arbeiten. KI-Werkzeuge im Sinne dieser Richtlinie sind Programme, die Texte, Bilder, Code, Audio oder Auswertungen mit Hilfe von KI erzeugen, etwa Chat-Assistenten, Übersetzungsdienste mit KI oder KI-Funktionen in bestehender Software.</w:t>
      </w:r>
    </w:p>
    <w:p>
      <w:pPr>
        <w:pStyle w:val="Heading1"/>
      </w:pPr>
      <w:r>
        <w:t>2. Freigegebene Werkzeuge</w:t>
      </w:r>
    </w:p>
    <w:p>
      <w:r>
        <w:t>Für die Arbeit dürfen nur die folgenden Werkzeuge mit dem Firmenkonto genutzt werden:</w:t>
      </w:r>
    </w:p>
    <w:tbl>
      <w:tblPr>
        <w:tblStyle w:val="TableGrid"/>
        <w:tblW w:type="auto" w:w="0"/>
        <w:tblLook w:firstColumn="1" w:firstRow="1" w:lastColumn="0" w:lastRow="0" w:noHBand="0" w:noVBand="1" w:val="04A0"/>
      </w:tblPr>
      <w:tblGrid>
        <w:gridCol w:w="2880"/>
        <w:gridCol w:w="2880"/>
        <w:gridCol w:w="2880"/>
      </w:tblGrid>
      <w:tr>
        <w:tc>
          <w:tcPr>
            <w:tcW w:type="dxa" w:w="2880"/>
          </w:tcPr>
          <w:p>
            <w:r>
              <w:t>Werkzeug</w:t>
            </w:r>
          </w:p>
        </w:tc>
        <w:tc>
          <w:tcPr>
            <w:tcW w:type="dxa" w:w="2880"/>
          </w:tcPr>
          <w:p>
            <w:r>
              <w:t>Zugelassen für</w:t>
            </w:r>
          </w:p>
        </w:tc>
        <w:tc>
          <w:tcPr>
            <w:tcW w:type="dxa" w:w="2880"/>
          </w:tcPr>
          <w:p>
            <w:r>
              <w:t>Erlaubte Datenklassen</w:t>
            </w:r>
          </w:p>
        </w:tc>
      </w:tr>
      <w:tr>
        <w:tc>
          <w:tcPr>
            <w:tcW w:type="dxa" w:w="2880"/>
          </w:tcPr>
          <w:p>
            <w:r>
              <w:t>[z. B. Microsoft 365 Copilot]</w:t>
            </w:r>
          </w:p>
        </w:tc>
        <w:tc>
          <w:tcPr>
            <w:tcW w:type="dxa" w:w="2880"/>
          </w:tcPr>
          <w:p>
            <w:r>
              <w:t>[alle Beschäftigten]</w:t>
            </w:r>
          </w:p>
        </w:tc>
        <w:tc>
          <w:tcPr>
            <w:tcW w:type="dxa" w:w="2880"/>
          </w:tcPr>
          <w:p>
            <w:r>
              <w:t>[öffentlich, intern]</w:t>
            </w:r>
          </w:p>
        </w:tc>
      </w:tr>
      <w:tr>
        <w:tc>
          <w:tcPr>
            <w:tcW w:type="dxa" w:w="2880"/>
          </w:tcPr>
          <w:p>
            <w:r>
              <w:t>[z. B. DeepL Pro]</w:t>
            </w:r>
          </w:p>
        </w:tc>
        <w:tc>
          <w:tcPr>
            <w:tcW w:type="dxa" w:w="2880"/>
          </w:tcPr>
          <w:p>
            <w:r>
              <w:t>[alle Beschäftigten]</w:t>
            </w:r>
          </w:p>
        </w:tc>
        <w:tc>
          <w:tcPr>
            <w:tcW w:type="dxa" w:w="2880"/>
          </w:tcPr>
          <w:p>
            <w:r>
              <w:t>[öffentlich, intern, vertraulich]</w:t>
            </w:r>
          </w:p>
        </w:tc>
      </w:tr>
      <w:tr>
        <w:tc>
          <w:tcPr>
            <w:tcW w:type="dxa" w:w="2880"/>
          </w:tcPr>
          <w:p>
            <w:r>
              <w:t>[eigene KI-Lösung]</w:t>
            </w:r>
          </w:p>
        </w:tc>
        <w:tc>
          <w:tcPr>
            <w:tcW w:type="dxa" w:w="2880"/>
          </w:tcPr>
          <w:p>
            <w:r>
              <w:t>[Innendienst]</w:t>
            </w:r>
          </w:p>
        </w:tc>
        <w:tc>
          <w:tcPr>
            <w:tcW w:type="dxa" w:w="2880"/>
          </w:tcPr>
          <w:p>
            <w:r>
              <w:t>[laut Betriebsdokumentation]</w:t>
            </w:r>
          </w:p>
        </w:tc>
      </w:tr>
    </w:tbl>
    <w:p>
      <w:r>
        <w:t>Private Konten und nicht freigegebene Werkzeuge dürfen für betriebliche Inhalte nicht genutzt werden.</w:t>
      </w:r>
    </w:p>
    <w:p>
      <w:pPr>
        <w:pStyle w:val="Heading1"/>
      </w:pPr>
      <w:r>
        <w:t>3. Datenklassen</w:t>
      </w:r>
    </w:p>
    <w:p>
      <w:pPr>
        <w:pStyle w:val="ListBullet"/>
      </w:pPr>
      <w:r>
        <w:t>Öffentlich: Informationen, die bereits veröffentlicht sind.</w:t>
      </w:r>
    </w:p>
    <w:p>
      <w:pPr>
        <w:pStyle w:val="ListBullet"/>
      </w:pPr>
      <w:r>
        <w:t>Intern: Informationen für den Dienstgebrauch ohne Personenbezug.</w:t>
      </w:r>
    </w:p>
    <w:p>
      <w:pPr>
        <w:pStyle w:val="ListBullet"/>
      </w:pPr>
      <w:r>
        <w:t>Vertraulich: Kundendaten, Personaldaten, Verträge, Preise, Geschäftsgeheimnisse.</w:t>
      </w:r>
    </w:p>
    <w:p>
      <w:pPr>
        <w:pStyle w:val="ListBullet"/>
      </w:pPr>
      <w:r>
        <w:t>Streng vertraulich: Gesundheitsdaten, Daten unter Berufsgeheimnis.</w:t>
      </w:r>
    </w:p>
    <w:p>
      <w:r>
        <w:t>Streng vertrauliche Daten werden in keines der Werkzeuge eingegeben, außer ein Werkzeug ist dafür ausdrücklich freigegeben.</w:t>
      </w:r>
    </w:p>
    <w:p>
      <w:pPr>
        <w:pStyle w:val="Heading1"/>
      </w:pPr>
      <w:r>
        <w:t>4. Prüfpflicht</w:t>
      </w:r>
    </w:p>
    <w:p>
      <w:r>
        <w:t>KI-Ergebnisse können falsch sein, auch wenn sie überzeugend klingen. Wer ein Ergebnis verwendet, prüft es vorher auf sachliche Richtigkeit, Vollständigkeit und Ton. Die Verantwortung für das Ergebnis bleibt bei der Person, die es verwendet.</w:t>
      </w:r>
    </w:p>
    <w:p>
      <w:pPr>
        <w:pStyle w:val="Heading1"/>
      </w:pPr>
      <w:r>
        <w:t>5. Entscheidungen über Menschen</w:t>
      </w:r>
    </w:p>
    <w:p>
      <w:r>
        <w:t>KI-Werkzeuge treffen keine Entscheidungen über Beschäftigte, Bewerberinnen und Bewerber oder Kundinnen und Kunden, etwa zu Einstellung, Leistung, Kredit oder Kündigung. Sie dürfen solche Entscheidungen nur vorbereiten, wenn das Verfahren vorher freigegeben wurde.</w:t>
      </w:r>
    </w:p>
    <w:p>
      <w:pPr>
        <w:pStyle w:val="Heading1"/>
      </w:pPr>
      <w:r>
        <w:t>6. Kennzeichnung</w:t>
      </w:r>
    </w:p>
    <w:p>
      <w:r>
        <w:t>Inhalte, die Personen außerhalb des Unternehmens erreichen und weitgehend von KI erzeugt wurden, werden gekennzeichnet, wenn sie für echt gehalten werden könnten, etwa Bilder, Audio oder Video von realen Personen. Chatbots, mit denen Kunden sprechen, weisen darauf hin, dass eine KI antwortet. [Hier die genaue Regel Ihres Unternehmens ergänzen.]</w:t>
      </w:r>
    </w:p>
    <w:p>
      <w:pPr>
        <w:pStyle w:val="Heading1"/>
      </w:pPr>
      <w:r>
        <w:t>7. Urheberrecht und Marken</w:t>
      </w:r>
    </w:p>
    <w:p>
      <w:r>
        <w:t>Fremde Texte, Bilder oder Code werden nicht in KI-Werkzeuge kopiert, wenn die Nutzungsrechte unklar sind. Vor einer Veröffentlichung wird geprüft, ob KI-Ergebnisse erkennbar fremde Werke oder Marken übernehmen.</w:t>
      </w:r>
    </w:p>
    <w:p>
      <w:pPr>
        <w:pStyle w:val="Heading1"/>
      </w:pPr>
      <w:r>
        <w:t>8. Sicherheit</w:t>
      </w:r>
    </w:p>
    <w:p>
      <w:r>
        <w:t>Zugangsdaten, Passwörter und Schlüssel werden nie in KI-Werkzeuge eingegeben. Erweiterungen, Plug-ins und Verbindungen zu anderen Systemen werden nur nach Freigabe durch [IT] eingerichtet.</w:t>
      </w:r>
    </w:p>
    <w:p>
      <w:pPr>
        <w:pStyle w:val="Heading1"/>
      </w:pPr>
      <w:r>
        <w:t>9. Neue Werkzeuge</w:t>
      </w:r>
    </w:p>
    <w:p>
      <w:r>
        <w:t>Wer ein neues KI-Werkzeug nutzen möchte, meldet es bei [Ansprechperson]. Geprüft werden Anbieter, Datenstandort, Auftragsverarbeitungsvertrag, Kosten und Zweck. Bis zur Freigabe wird das Werkzeug nicht für betriebliche Inhalte genutzt.</w:t>
      </w:r>
    </w:p>
    <w:p>
      <w:pPr>
        <w:pStyle w:val="Heading1"/>
      </w:pPr>
      <w:r>
        <w:t>10. Schulung</w:t>
      </w:r>
    </w:p>
    <w:p>
      <w:r>
        <w:t>Alle Beschäftigten, die KI-Werkzeuge nutzen, nehmen an einer Einführung teil, bevor sie ein Werkzeug erhalten. [Ansprechperson] dokumentiert die Teilnahme. Bei neuen Werkzeugen gibt es eine Auffrischung.</w:t>
      </w:r>
    </w:p>
    <w:p>
      <w:pPr>
        <w:pStyle w:val="Heading1"/>
      </w:pPr>
      <w:r>
        <w:t>11. Fragen und Fehler</w:t>
      </w:r>
    </w:p>
    <w:p>
      <w:r>
        <w:t>Fragen beantwortet [Ansprechperson, E-Mail]. Wer feststellt, dass Daten versehentlich in ein nicht freigegebenes Werkzeug gelangt sind, meldet das sofort an [Datenschutz, E-Mail]. Eine frühe Meldung hat keine Nachteile.</w:t>
      </w:r>
    </w:p>
    <w:p>
      <w:pPr>
        <w:pStyle w:val="Heading1"/>
      </w:pPr>
      <w:r>
        <w:t>12. Geltung und Überprüfung</w:t>
      </w:r>
    </w:p>
    <w:p>
      <w:r>
        <w:t>Diese Richtlinie gilt ab [Datum]. Sie wird mindestens einmal im Jahr und bei jedem neuen Werkzeug überprüft. Version [1.0], verantwortlich: [Name, Funktion].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